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00CBA" w14:textId="77777777" w:rsidR="00764F7C" w:rsidRDefault="00000000" w:rsidP="00764F7C">
      <w:pPr>
        <w:pStyle w:val="Heading1"/>
        <w:ind w:left="2880" w:firstLine="720"/>
        <w:jc w:val="left"/>
      </w:pPr>
      <w:r>
        <w:t>Machine Sciences Corporation</w:t>
      </w:r>
    </w:p>
    <w:p w14:paraId="66BACB16" w14:textId="681EF9BF" w:rsidR="00C72756" w:rsidRDefault="00000000">
      <w:pPr>
        <w:pStyle w:val="Heading1"/>
      </w:pPr>
      <w:r>
        <w:t xml:space="preserve"> AS9100 Flow Down requirements for Suppliers </w:t>
      </w:r>
    </w:p>
    <w:p w14:paraId="270DF205" w14:textId="77777777" w:rsidR="00C72756" w:rsidRDefault="00000000">
      <w:pPr>
        <w:spacing w:after="44"/>
        <w:ind w:left="-29" w:right="-29"/>
      </w:pPr>
      <w:r>
        <w:rPr>
          <w:rFonts w:ascii="Calibri" w:eastAsia="Calibri" w:hAnsi="Calibri" w:cs="Calibri"/>
          <w:b w:val="0"/>
          <w:noProof/>
          <w:sz w:val="22"/>
        </w:rPr>
        <mc:AlternateContent>
          <mc:Choice Requires="wpg">
            <w:drawing>
              <wp:inline distT="0" distB="0" distL="0" distR="0" wp14:anchorId="646B2F25" wp14:editId="7EFC9DBE">
                <wp:extent cx="6895846" cy="56388"/>
                <wp:effectExtent l="0" t="0" r="0" b="0"/>
                <wp:docPr id="3132" name="Group 3132"/>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3283" name="Shape 3283"/>
                        <wps:cNvSpPr/>
                        <wps:spPr>
                          <a:xfrm>
                            <a:off x="0" y="18288"/>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284" name="Shape 3284"/>
                        <wps:cNvSpPr/>
                        <wps:spPr>
                          <a:xfrm>
                            <a:off x="0" y="0"/>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xmlns:a="http://schemas.openxmlformats.org/drawingml/2006/main">
            <w:pict>
              <v:group id="Group 3132" style="width:542.98pt;height:4.44pt;mso-position-horizontal-relative:char;mso-position-vertical-relative:line" coordsize="68958,563">
                <v:shape id="Shape 3285" style="position:absolute;width:68958;height:381;left:0;top:182;" coordsize="6895846,38100" path="m0,0l6895846,0l6895846,38100l0,38100l0,0">
                  <v:stroke weight="0pt" endcap="flat" joinstyle="miter" miterlimit="10" on="false" color="#000000" opacity="0"/>
                  <v:fill on="true" color="#622423"/>
                </v:shape>
                <v:shape id="Shape 3286" style="position:absolute;width:68958;height:91;left:0;top:0;" coordsize="6895846,9144" path="m0,0l6895846,0l6895846,9144l0,9144l0,0">
                  <v:stroke weight="0pt" endcap="flat" joinstyle="miter" miterlimit="10" on="false" color="#000000" opacity="0"/>
                  <v:fill on="true" color="#622423"/>
                </v:shape>
              </v:group>
            </w:pict>
          </mc:Fallback>
        </mc:AlternateContent>
      </w:r>
    </w:p>
    <w:p w14:paraId="5D0A7A4A" w14:textId="77777777" w:rsidR="00C72756" w:rsidRDefault="00000000">
      <w:r>
        <w:rPr>
          <w:rFonts w:ascii="Calibri" w:eastAsia="Calibri" w:hAnsi="Calibri" w:cs="Calibri"/>
          <w:b w:val="0"/>
          <w:sz w:val="22"/>
        </w:rPr>
        <w:t xml:space="preserve"> </w:t>
      </w:r>
    </w:p>
    <w:p w14:paraId="760245DE" w14:textId="77777777" w:rsidR="00C72756" w:rsidRDefault="00000000">
      <w:r>
        <w:t>As a Supplier to Machine Sciences Corporation, you agree to comply with the additional terms and conditions listed below with respect to any product or services provided to Machine Sciences if any such product or service relates to any aviation, space, or defense application, project or any request for quote, purchase order or similar document issued by Machine Sciences contains any reference to the AS9100 standards. The terms and conditions listed below are in addition to and are deemed to be an integral part of Machine Sciences' standard terms and conditions of purchase.</w:t>
      </w:r>
      <w:r>
        <w:rPr>
          <w:b w:val="0"/>
          <w:sz w:val="24"/>
        </w:rPr>
        <w:t xml:space="preserve"> </w:t>
      </w:r>
    </w:p>
    <w:tbl>
      <w:tblPr>
        <w:tblStyle w:val="TableGrid"/>
        <w:tblW w:w="10281" w:type="dxa"/>
        <w:tblInd w:w="5" w:type="dxa"/>
        <w:tblCellMar>
          <w:top w:w="10" w:type="dxa"/>
          <w:left w:w="108" w:type="dxa"/>
          <w:bottom w:w="0" w:type="dxa"/>
          <w:right w:w="139" w:type="dxa"/>
        </w:tblCellMar>
        <w:tblLook w:val="04A0" w:firstRow="1" w:lastRow="0" w:firstColumn="1" w:lastColumn="0" w:noHBand="0" w:noVBand="1"/>
      </w:tblPr>
      <w:tblGrid>
        <w:gridCol w:w="10281"/>
      </w:tblGrid>
      <w:tr w:rsidR="00C72756" w14:paraId="2571E48A" w14:textId="77777777">
        <w:trPr>
          <w:trHeight w:val="194"/>
        </w:trPr>
        <w:tc>
          <w:tcPr>
            <w:tcW w:w="10281" w:type="dxa"/>
            <w:tcBorders>
              <w:top w:val="single" w:sz="4" w:space="0" w:color="000000"/>
              <w:left w:val="single" w:sz="4" w:space="0" w:color="000000"/>
              <w:bottom w:val="single" w:sz="4" w:space="0" w:color="000000"/>
              <w:right w:val="single" w:sz="4" w:space="0" w:color="000000"/>
            </w:tcBorders>
          </w:tcPr>
          <w:p w14:paraId="503F3F72" w14:textId="77777777" w:rsidR="00C72756" w:rsidRDefault="00000000">
            <w:r>
              <w:t xml:space="preserve">Description </w:t>
            </w:r>
          </w:p>
        </w:tc>
      </w:tr>
      <w:tr w:rsidR="00C72756" w14:paraId="03088C3C" w14:textId="77777777">
        <w:trPr>
          <w:trHeight w:val="377"/>
        </w:trPr>
        <w:tc>
          <w:tcPr>
            <w:tcW w:w="10281" w:type="dxa"/>
            <w:tcBorders>
              <w:top w:val="single" w:sz="4" w:space="0" w:color="000000"/>
              <w:left w:val="single" w:sz="4" w:space="0" w:color="000000"/>
              <w:bottom w:val="single" w:sz="4" w:space="0" w:color="000000"/>
              <w:right w:val="single" w:sz="4" w:space="0" w:color="000000"/>
            </w:tcBorders>
          </w:tcPr>
          <w:p w14:paraId="1D5939BB" w14:textId="77777777" w:rsidR="00C72756" w:rsidRDefault="00000000">
            <w:r>
              <w:t xml:space="preserve">1) Calibration System. </w:t>
            </w:r>
            <w:r>
              <w:rPr>
                <w:b w:val="0"/>
              </w:rPr>
              <w:t>All Inspection Measuring &amp; Test Equipment used by the Supplier during in-process and final inspection to make a compliance evaluation shall be calibrated to the national standard.</w:t>
            </w:r>
            <w:r>
              <w:rPr>
                <w:b w:val="0"/>
                <w:sz w:val="24"/>
              </w:rPr>
              <w:t xml:space="preserve"> </w:t>
            </w:r>
          </w:p>
        </w:tc>
      </w:tr>
      <w:tr w:rsidR="00C72756" w14:paraId="4FC662CD" w14:textId="77777777">
        <w:trPr>
          <w:trHeight w:val="931"/>
        </w:trPr>
        <w:tc>
          <w:tcPr>
            <w:tcW w:w="10281" w:type="dxa"/>
            <w:tcBorders>
              <w:top w:val="single" w:sz="4" w:space="0" w:color="000000"/>
              <w:left w:val="single" w:sz="4" w:space="0" w:color="000000"/>
              <w:bottom w:val="single" w:sz="4" w:space="0" w:color="000000"/>
              <w:right w:val="single" w:sz="4" w:space="0" w:color="000000"/>
            </w:tcBorders>
          </w:tcPr>
          <w:p w14:paraId="79F89057" w14:textId="77777777" w:rsidR="00C72756" w:rsidRDefault="00000000">
            <w:r>
              <w:t xml:space="preserve">2) Special Processes. </w:t>
            </w:r>
            <w:r>
              <w:rPr>
                <w:b w:val="0"/>
              </w:rPr>
              <w:t xml:space="preserve">Supplier shall provide certifications for all special processes and nondestructive test results performed with each shipment. The certificate shall identify the processor, process used, controlling specification &amp; revision, and the results of test or measurement performed. </w:t>
            </w:r>
            <w:proofErr w:type="gramStart"/>
            <w:r>
              <w:rPr>
                <w:b w:val="0"/>
              </w:rPr>
              <w:t>Supplier</w:t>
            </w:r>
            <w:proofErr w:type="gramEnd"/>
            <w:r>
              <w:rPr>
                <w:b w:val="0"/>
              </w:rPr>
              <w:t xml:space="preserve"> used shall be a Machine Sciences and/or Customer approved source for said Processes. These include operations subject to process controls such as: coating, joining, heat treating, cleaning, non- destructive test, etc. The Supplier shall be approved as per </w:t>
            </w:r>
            <w:proofErr w:type="gramStart"/>
            <w:r>
              <w:rPr>
                <w:b w:val="0"/>
              </w:rPr>
              <w:t>above</w:t>
            </w:r>
            <w:proofErr w:type="gramEnd"/>
            <w:r>
              <w:rPr>
                <w:b w:val="0"/>
              </w:rPr>
              <w:t xml:space="preserve"> to perform specific required Special </w:t>
            </w:r>
            <w:proofErr w:type="gramStart"/>
            <w:r>
              <w:rPr>
                <w:b w:val="0"/>
              </w:rPr>
              <w:t>Processes, or</w:t>
            </w:r>
            <w:proofErr w:type="gramEnd"/>
            <w:r>
              <w:rPr>
                <w:b w:val="0"/>
              </w:rPr>
              <w:t xml:space="preserve"> use Special Process vendors acceptable to Machine Sciences’ customer.</w:t>
            </w:r>
            <w:r>
              <w:rPr>
                <w:b w:val="0"/>
                <w:sz w:val="24"/>
              </w:rPr>
              <w:t xml:space="preserve"> </w:t>
            </w:r>
          </w:p>
        </w:tc>
      </w:tr>
      <w:tr w:rsidR="00C72756" w14:paraId="29C3FE94" w14:textId="77777777">
        <w:trPr>
          <w:trHeight w:val="194"/>
        </w:trPr>
        <w:tc>
          <w:tcPr>
            <w:tcW w:w="10281" w:type="dxa"/>
            <w:tcBorders>
              <w:top w:val="single" w:sz="4" w:space="0" w:color="000000"/>
              <w:left w:val="single" w:sz="4" w:space="0" w:color="000000"/>
              <w:bottom w:val="single" w:sz="4" w:space="0" w:color="000000"/>
              <w:right w:val="single" w:sz="4" w:space="0" w:color="000000"/>
            </w:tcBorders>
          </w:tcPr>
          <w:p w14:paraId="08C9335C" w14:textId="77777777" w:rsidR="00C72756" w:rsidRDefault="00000000">
            <w:r>
              <w:t xml:space="preserve">3) Workmanship Quality. </w:t>
            </w:r>
            <w:r>
              <w:rPr>
                <w:b w:val="0"/>
              </w:rPr>
              <w:t xml:space="preserve">Manufactured </w:t>
            </w:r>
            <w:proofErr w:type="gramStart"/>
            <w:r>
              <w:rPr>
                <w:b w:val="0"/>
              </w:rPr>
              <w:t>product</w:t>
            </w:r>
            <w:proofErr w:type="gramEnd"/>
            <w:r>
              <w:rPr>
                <w:b w:val="0"/>
              </w:rPr>
              <w:t xml:space="preserve"> shall be free from burrs, and sharp edges.</w:t>
            </w:r>
            <w:r>
              <w:rPr>
                <w:b w:val="0"/>
                <w:sz w:val="24"/>
              </w:rPr>
              <w:t xml:space="preserve"> </w:t>
            </w:r>
          </w:p>
        </w:tc>
      </w:tr>
      <w:tr w:rsidR="00C72756" w14:paraId="28AF0C39" w14:textId="77777777">
        <w:trPr>
          <w:trHeight w:val="562"/>
        </w:trPr>
        <w:tc>
          <w:tcPr>
            <w:tcW w:w="10281" w:type="dxa"/>
            <w:tcBorders>
              <w:top w:val="single" w:sz="4" w:space="0" w:color="000000"/>
              <w:left w:val="single" w:sz="4" w:space="0" w:color="000000"/>
              <w:bottom w:val="single" w:sz="4" w:space="0" w:color="000000"/>
              <w:right w:val="single" w:sz="4" w:space="0" w:color="000000"/>
            </w:tcBorders>
          </w:tcPr>
          <w:p w14:paraId="5F0A4968" w14:textId="77777777" w:rsidR="00C72756" w:rsidRDefault="00000000">
            <w:r>
              <w:t xml:space="preserve">4) Control of Drawings &amp; Specifications. </w:t>
            </w:r>
            <w:r>
              <w:rPr>
                <w:b w:val="0"/>
              </w:rPr>
              <w:t>The Supplier shall ensure that the drawings and specification are the relevant revision status specified on the Purchase Order. The Supplier shall comply with any special requirements requested by Machine Sciences regarding the control of drawings and specification to ITAR compliance.</w:t>
            </w:r>
            <w:r>
              <w:rPr>
                <w:b w:val="0"/>
                <w:sz w:val="24"/>
              </w:rPr>
              <w:t xml:space="preserve"> </w:t>
            </w:r>
          </w:p>
        </w:tc>
      </w:tr>
      <w:tr w:rsidR="00C72756" w14:paraId="40114C46" w14:textId="77777777">
        <w:trPr>
          <w:trHeight w:val="377"/>
        </w:trPr>
        <w:tc>
          <w:tcPr>
            <w:tcW w:w="10281" w:type="dxa"/>
            <w:tcBorders>
              <w:top w:val="single" w:sz="4" w:space="0" w:color="000000"/>
              <w:left w:val="single" w:sz="4" w:space="0" w:color="000000"/>
              <w:bottom w:val="single" w:sz="4" w:space="0" w:color="000000"/>
              <w:right w:val="single" w:sz="4" w:space="0" w:color="000000"/>
            </w:tcBorders>
          </w:tcPr>
          <w:p w14:paraId="5E74C0B2" w14:textId="77777777" w:rsidR="00C72756" w:rsidRDefault="00000000">
            <w:r>
              <w:t xml:space="preserve">5) Limited </w:t>
            </w:r>
            <w:proofErr w:type="gramStart"/>
            <w:r>
              <w:t>Shelf Life</w:t>
            </w:r>
            <w:proofErr w:type="gramEnd"/>
            <w:r>
              <w:t xml:space="preserve"> Items. </w:t>
            </w:r>
            <w:r>
              <w:rPr>
                <w:b w:val="0"/>
              </w:rPr>
              <w:t>Materials with limited shelf life (epoxy, paint, adhesives, etc.) shall indicate the date of manufacture, lot number and applicable specification on the container. The Supplier shall supply life limited product with at least 75% of the life remaining.</w:t>
            </w:r>
            <w:r>
              <w:rPr>
                <w:b w:val="0"/>
                <w:sz w:val="24"/>
              </w:rPr>
              <w:t xml:space="preserve"> </w:t>
            </w:r>
          </w:p>
        </w:tc>
      </w:tr>
      <w:tr w:rsidR="00C72756" w14:paraId="2EDEFEBE" w14:textId="77777777">
        <w:trPr>
          <w:trHeight w:val="194"/>
        </w:trPr>
        <w:tc>
          <w:tcPr>
            <w:tcW w:w="10281" w:type="dxa"/>
            <w:tcBorders>
              <w:top w:val="single" w:sz="4" w:space="0" w:color="000000"/>
              <w:left w:val="single" w:sz="4" w:space="0" w:color="000000"/>
              <w:bottom w:val="single" w:sz="4" w:space="0" w:color="000000"/>
              <w:right w:val="single" w:sz="4" w:space="0" w:color="000000"/>
            </w:tcBorders>
          </w:tcPr>
          <w:p w14:paraId="72A7EA93" w14:textId="77777777" w:rsidR="00C72756" w:rsidRDefault="00000000">
            <w:r>
              <w:t xml:space="preserve">6) Material Substitution. </w:t>
            </w:r>
            <w:r>
              <w:rPr>
                <w:b w:val="0"/>
              </w:rPr>
              <w:t xml:space="preserve">Unauthorized material substitutions are not permitted without Machine </w:t>
            </w:r>
            <w:proofErr w:type="gramStart"/>
            <w:r>
              <w:rPr>
                <w:b w:val="0"/>
              </w:rPr>
              <w:t>Sciences</w:t>
            </w:r>
            <w:proofErr w:type="gramEnd"/>
            <w:r>
              <w:rPr>
                <w:b w:val="0"/>
              </w:rPr>
              <w:t xml:space="preserve"> written consent. </w:t>
            </w:r>
            <w:r>
              <w:rPr>
                <w:b w:val="0"/>
                <w:sz w:val="24"/>
              </w:rPr>
              <w:t xml:space="preserve"> </w:t>
            </w:r>
          </w:p>
        </w:tc>
      </w:tr>
      <w:tr w:rsidR="00C72756" w14:paraId="08D34C2C" w14:textId="77777777">
        <w:trPr>
          <w:trHeight w:val="379"/>
        </w:trPr>
        <w:tc>
          <w:tcPr>
            <w:tcW w:w="10281" w:type="dxa"/>
            <w:tcBorders>
              <w:top w:val="single" w:sz="4" w:space="0" w:color="000000"/>
              <w:left w:val="single" w:sz="4" w:space="0" w:color="000000"/>
              <w:bottom w:val="single" w:sz="4" w:space="0" w:color="000000"/>
              <w:right w:val="single" w:sz="4" w:space="0" w:color="000000"/>
            </w:tcBorders>
          </w:tcPr>
          <w:p w14:paraId="3BDF83E2" w14:textId="77777777" w:rsidR="00C72756" w:rsidRDefault="00000000">
            <w:r>
              <w:t xml:space="preserve">7) Reporting Discrepancies. </w:t>
            </w:r>
            <w:r>
              <w:rPr>
                <w:b w:val="0"/>
              </w:rPr>
              <w:t xml:space="preserve">Discrepancies, omissions, and the need for clarifications or interpretations of any nature encountered by Supplier in respect of furnished drawings or engineering data will be brought to the attention of Machine Sciences for resolution </w:t>
            </w:r>
            <w:r>
              <w:rPr>
                <w:b w:val="0"/>
                <w:sz w:val="24"/>
              </w:rPr>
              <w:t xml:space="preserve"> </w:t>
            </w:r>
          </w:p>
        </w:tc>
      </w:tr>
      <w:tr w:rsidR="00C72756" w14:paraId="6FA72724" w14:textId="77777777">
        <w:trPr>
          <w:trHeight w:val="377"/>
        </w:trPr>
        <w:tc>
          <w:tcPr>
            <w:tcW w:w="10281" w:type="dxa"/>
            <w:tcBorders>
              <w:top w:val="single" w:sz="4" w:space="0" w:color="000000"/>
              <w:left w:val="single" w:sz="4" w:space="0" w:color="000000"/>
              <w:bottom w:val="single" w:sz="4" w:space="0" w:color="000000"/>
              <w:right w:val="single" w:sz="4" w:space="0" w:color="000000"/>
            </w:tcBorders>
          </w:tcPr>
          <w:p w14:paraId="2D1DEA02" w14:textId="77777777" w:rsidR="00C72756" w:rsidRDefault="00000000">
            <w:r>
              <w:t xml:space="preserve">8) Quality/Inspection System. </w:t>
            </w:r>
            <w:r>
              <w:rPr>
                <w:b w:val="0"/>
              </w:rPr>
              <w:t xml:space="preserve">Supplier shall maintain a quality/inspection system that will ensure all goods and services conform to contract requirements whether manufactured or processed by Supplier or procured from Sub-Tier Suppliers </w:t>
            </w:r>
            <w:r>
              <w:rPr>
                <w:b w:val="0"/>
                <w:sz w:val="24"/>
              </w:rPr>
              <w:t xml:space="preserve"> </w:t>
            </w:r>
          </w:p>
        </w:tc>
      </w:tr>
      <w:tr w:rsidR="00C72756" w14:paraId="52FB97DF" w14:textId="77777777">
        <w:trPr>
          <w:trHeight w:val="562"/>
        </w:trPr>
        <w:tc>
          <w:tcPr>
            <w:tcW w:w="10281" w:type="dxa"/>
            <w:tcBorders>
              <w:top w:val="single" w:sz="4" w:space="0" w:color="000000"/>
              <w:left w:val="single" w:sz="4" w:space="0" w:color="000000"/>
              <w:bottom w:val="single" w:sz="4" w:space="0" w:color="000000"/>
              <w:right w:val="single" w:sz="4" w:space="0" w:color="000000"/>
            </w:tcBorders>
          </w:tcPr>
          <w:p w14:paraId="7A9576CD" w14:textId="77777777" w:rsidR="00C72756" w:rsidRDefault="00000000">
            <w:r>
              <w:t xml:space="preserve">9) Changes in Process, Product or Location. </w:t>
            </w:r>
            <w:r>
              <w:rPr>
                <w:b w:val="0"/>
              </w:rPr>
              <w:t xml:space="preserve">Supplier shall notify Machine Sciences of intended or actual changes that may affect the quality of delivered goods and services. This </w:t>
            </w:r>
            <w:proofErr w:type="gramStart"/>
            <w:r>
              <w:rPr>
                <w:b w:val="0"/>
              </w:rPr>
              <w:t>includes:</w:t>
            </w:r>
            <w:proofErr w:type="gramEnd"/>
            <w:r>
              <w:rPr>
                <w:b w:val="0"/>
              </w:rPr>
              <w:t xml:space="preserve"> Changes to the Quality Management System, the Manufacturing Line, Facility Location, Processes, or Natural Disasters. Quality data and/or approved design data to be available in the English language.</w:t>
            </w:r>
            <w:r>
              <w:rPr>
                <w:b w:val="0"/>
                <w:sz w:val="24"/>
              </w:rPr>
              <w:t xml:space="preserve"> </w:t>
            </w:r>
          </w:p>
        </w:tc>
      </w:tr>
      <w:tr w:rsidR="00C72756" w14:paraId="6C1811D3" w14:textId="77777777">
        <w:trPr>
          <w:trHeight w:val="379"/>
        </w:trPr>
        <w:tc>
          <w:tcPr>
            <w:tcW w:w="10281" w:type="dxa"/>
            <w:tcBorders>
              <w:top w:val="single" w:sz="4" w:space="0" w:color="000000"/>
              <w:left w:val="single" w:sz="4" w:space="0" w:color="000000"/>
              <w:bottom w:val="single" w:sz="4" w:space="0" w:color="000000"/>
              <w:right w:val="single" w:sz="4" w:space="0" w:color="000000"/>
            </w:tcBorders>
          </w:tcPr>
          <w:p w14:paraId="18FE3A87" w14:textId="77777777" w:rsidR="00C72756" w:rsidRDefault="00000000">
            <w:r>
              <w:t xml:space="preserve">10) Digital Product Definition (DPD). </w:t>
            </w:r>
            <w:r>
              <w:rPr>
                <w:b w:val="0"/>
              </w:rPr>
              <w:t xml:space="preserve">Supplier is required to obtain approval as a Digital Product Definition (DPD)-capable Supplier if Supplier receives, downloads, and/or uses Computer Aided Design (CAD) geometry in any format </w:t>
            </w:r>
            <w:r>
              <w:rPr>
                <w:b w:val="0"/>
                <w:sz w:val="24"/>
              </w:rPr>
              <w:t xml:space="preserve"> </w:t>
            </w:r>
          </w:p>
        </w:tc>
      </w:tr>
      <w:tr w:rsidR="00C72756" w14:paraId="6AD3B31E" w14:textId="77777777">
        <w:trPr>
          <w:trHeight w:val="929"/>
        </w:trPr>
        <w:tc>
          <w:tcPr>
            <w:tcW w:w="10281" w:type="dxa"/>
            <w:tcBorders>
              <w:top w:val="single" w:sz="4" w:space="0" w:color="000000"/>
              <w:left w:val="single" w:sz="4" w:space="0" w:color="000000"/>
              <w:bottom w:val="single" w:sz="4" w:space="0" w:color="000000"/>
              <w:right w:val="single" w:sz="4" w:space="0" w:color="000000"/>
            </w:tcBorders>
          </w:tcPr>
          <w:p w14:paraId="7270C21C" w14:textId="77777777" w:rsidR="00C72756" w:rsidRDefault="00000000">
            <w:r>
              <w:t xml:space="preserve">11) Certificate of Conformance. </w:t>
            </w:r>
            <w:r>
              <w:rPr>
                <w:b w:val="0"/>
              </w:rPr>
              <w:t xml:space="preserve">Supplier's acceptance of Machine Sciences’ purchase order certifies that the materials and processes supplied under the purchase order shall be or have been controlled and inspected in accordance with Machine Sciences’ purchase order and they meet the specified order requirements, referenced specifications and drawings. </w:t>
            </w:r>
            <w:proofErr w:type="gramStart"/>
            <w:r>
              <w:rPr>
                <w:b w:val="0"/>
              </w:rPr>
              <w:t>Supplier</w:t>
            </w:r>
            <w:proofErr w:type="gramEnd"/>
            <w:r>
              <w:rPr>
                <w:b w:val="0"/>
              </w:rPr>
              <w:t xml:space="preserve"> must provide a Certificate of Conformance for all orders and lots, verifying that all products and lots meet those requirements. All products and lots must be clearly identified and labeled and must be traceable to and linked to the Certificate of Conformance.</w:t>
            </w:r>
            <w:r>
              <w:rPr>
                <w:b w:val="0"/>
                <w:sz w:val="24"/>
              </w:rPr>
              <w:t xml:space="preserve"> </w:t>
            </w:r>
          </w:p>
        </w:tc>
      </w:tr>
      <w:tr w:rsidR="00C72756" w14:paraId="3CADDE5B" w14:textId="77777777">
        <w:trPr>
          <w:trHeight w:val="488"/>
        </w:trPr>
        <w:tc>
          <w:tcPr>
            <w:tcW w:w="10281" w:type="dxa"/>
            <w:tcBorders>
              <w:top w:val="single" w:sz="4" w:space="0" w:color="000000"/>
              <w:left w:val="single" w:sz="4" w:space="0" w:color="000000"/>
              <w:bottom w:val="single" w:sz="4" w:space="0" w:color="000000"/>
              <w:right w:val="single" w:sz="4" w:space="0" w:color="000000"/>
            </w:tcBorders>
          </w:tcPr>
          <w:p w14:paraId="568B64FB" w14:textId="77777777" w:rsidR="00C72756" w:rsidRDefault="00000000">
            <w:r>
              <w:t xml:space="preserve">12) Counterfeit Parts. </w:t>
            </w:r>
            <w:r>
              <w:rPr>
                <w:b w:val="0"/>
              </w:rPr>
              <w:t xml:space="preserve">The Supplier shall certify that only new and authentic materials are used in products or goods delivered to Machine Sciences and that the products/goods delivered contain no Counterfeit Parts. </w:t>
            </w:r>
            <w:r>
              <w:rPr>
                <w:b w:val="0"/>
                <w:sz w:val="24"/>
              </w:rPr>
              <w:t xml:space="preserve"> </w:t>
            </w:r>
          </w:p>
        </w:tc>
      </w:tr>
      <w:tr w:rsidR="00C72756" w14:paraId="039D1A61" w14:textId="77777777">
        <w:trPr>
          <w:trHeight w:val="377"/>
        </w:trPr>
        <w:tc>
          <w:tcPr>
            <w:tcW w:w="10281" w:type="dxa"/>
            <w:tcBorders>
              <w:top w:val="single" w:sz="4" w:space="0" w:color="000000"/>
              <w:left w:val="single" w:sz="4" w:space="0" w:color="000000"/>
              <w:bottom w:val="single" w:sz="4" w:space="0" w:color="000000"/>
              <w:right w:val="single" w:sz="4" w:space="0" w:color="000000"/>
            </w:tcBorders>
          </w:tcPr>
          <w:p w14:paraId="7538157C" w14:textId="77777777" w:rsidR="00C72756" w:rsidRDefault="00000000">
            <w:r>
              <w:t xml:space="preserve">13) Right of Access. </w:t>
            </w:r>
            <w:r>
              <w:rPr>
                <w:b w:val="0"/>
              </w:rPr>
              <w:t xml:space="preserve"> Machine Sciences, its customers, and regulatory authorities shall be granted the right of access to all Supplier and sub-tier Supplier facilities and records involved in fulfilling the Purchase Order requirements to ensure conformance with the requirements. </w:t>
            </w:r>
            <w:r>
              <w:rPr>
                <w:b w:val="0"/>
                <w:sz w:val="24"/>
              </w:rPr>
              <w:t xml:space="preserve"> </w:t>
            </w:r>
          </w:p>
        </w:tc>
      </w:tr>
      <w:tr w:rsidR="00C72756" w14:paraId="38C265AB" w14:textId="77777777">
        <w:trPr>
          <w:trHeight w:val="379"/>
        </w:trPr>
        <w:tc>
          <w:tcPr>
            <w:tcW w:w="10281" w:type="dxa"/>
            <w:tcBorders>
              <w:top w:val="single" w:sz="4" w:space="0" w:color="000000"/>
              <w:left w:val="single" w:sz="4" w:space="0" w:color="000000"/>
              <w:bottom w:val="single" w:sz="4" w:space="0" w:color="000000"/>
              <w:right w:val="single" w:sz="4" w:space="0" w:color="000000"/>
            </w:tcBorders>
          </w:tcPr>
          <w:p w14:paraId="3D09B71B" w14:textId="77777777" w:rsidR="00C72756" w:rsidRDefault="00000000">
            <w:r>
              <w:t xml:space="preserve">14) Foreign Object Debris/Damage. </w:t>
            </w:r>
            <w:r>
              <w:rPr>
                <w:b w:val="0"/>
              </w:rPr>
              <w:t>Supplier is required to establish and maintain a Foreign Object Debris/Damage (FOD) prevention program that employs appropriate housekeeping practices to assure timely detection and removal of residue/debris generated, during operations and normal daily tasks</w:t>
            </w:r>
            <w:r>
              <w:rPr>
                <w:b w:val="0"/>
                <w:sz w:val="24"/>
              </w:rPr>
              <w:t xml:space="preserve"> </w:t>
            </w:r>
          </w:p>
        </w:tc>
      </w:tr>
      <w:tr w:rsidR="00C72756" w14:paraId="1E14B3E3" w14:textId="77777777">
        <w:trPr>
          <w:trHeight w:val="562"/>
        </w:trPr>
        <w:tc>
          <w:tcPr>
            <w:tcW w:w="10281" w:type="dxa"/>
            <w:tcBorders>
              <w:top w:val="single" w:sz="4" w:space="0" w:color="000000"/>
              <w:left w:val="single" w:sz="4" w:space="0" w:color="000000"/>
              <w:bottom w:val="single" w:sz="4" w:space="0" w:color="000000"/>
              <w:right w:val="single" w:sz="4" w:space="0" w:color="000000"/>
            </w:tcBorders>
          </w:tcPr>
          <w:p w14:paraId="14C32951" w14:textId="77777777" w:rsidR="00C72756" w:rsidRDefault="00000000">
            <w:r>
              <w:t xml:space="preserve">15) Record Retention. </w:t>
            </w:r>
            <w:r>
              <w:rPr>
                <w:b w:val="0"/>
              </w:rPr>
              <w:t xml:space="preserve">Supplier shall maintain records of inspections, tests, and process controls called for by this contract. Unless specified elsewhere in contracts or attachments, these documents shall be on file, stored and protected in such a manner that they remain legible, readily identifiable, and readily available to Machine Sciences for no less than 10 years. Supplier must contact Machine Sciences at </w:t>
            </w:r>
            <w:proofErr w:type="gramStart"/>
            <w:r>
              <w:rPr>
                <w:b w:val="0"/>
              </w:rPr>
              <w:t>end</w:t>
            </w:r>
            <w:proofErr w:type="gramEnd"/>
            <w:r>
              <w:rPr>
                <w:b w:val="0"/>
              </w:rPr>
              <w:t xml:space="preserve"> of retention period for disposition instructions. </w:t>
            </w:r>
            <w:r>
              <w:rPr>
                <w:b w:val="0"/>
                <w:sz w:val="24"/>
              </w:rPr>
              <w:t xml:space="preserve"> </w:t>
            </w:r>
          </w:p>
        </w:tc>
      </w:tr>
      <w:tr w:rsidR="00C72756" w14:paraId="5FC05DF1" w14:textId="77777777">
        <w:trPr>
          <w:trHeight w:val="377"/>
        </w:trPr>
        <w:tc>
          <w:tcPr>
            <w:tcW w:w="10281" w:type="dxa"/>
            <w:tcBorders>
              <w:top w:val="single" w:sz="4" w:space="0" w:color="000000"/>
              <w:left w:val="single" w:sz="4" w:space="0" w:color="000000"/>
              <w:bottom w:val="single" w:sz="4" w:space="0" w:color="000000"/>
              <w:right w:val="single" w:sz="4" w:space="0" w:color="000000"/>
            </w:tcBorders>
          </w:tcPr>
          <w:p w14:paraId="1B45CC6E" w14:textId="77777777" w:rsidR="00C72756" w:rsidRDefault="00000000">
            <w:r>
              <w:t xml:space="preserve">16) Supplier Corrective Action. </w:t>
            </w:r>
            <w:r>
              <w:rPr>
                <w:b w:val="0"/>
              </w:rPr>
              <w:t xml:space="preserve">Supplier shall, on request, provide statements of corrective action on nonconformities or failures of Supplier's goods or services. </w:t>
            </w:r>
            <w:r>
              <w:rPr>
                <w:b w:val="0"/>
                <w:sz w:val="24"/>
              </w:rPr>
              <w:t xml:space="preserve"> </w:t>
            </w:r>
          </w:p>
        </w:tc>
      </w:tr>
      <w:tr w:rsidR="00C72756" w14:paraId="5A01A2CE" w14:textId="77777777">
        <w:trPr>
          <w:trHeight w:val="379"/>
        </w:trPr>
        <w:tc>
          <w:tcPr>
            <w:tcW w:w="10281" w:type="dxa"/>
            <w:tcBorders>
              <w:top w:val="single" w:sz="4" w:space="0" w:color="000000"/>
              <w:left w:val="single" w:sz="4" w:space="0" w:color="000000"/>
              <w:bottom w:val="single" w:sz="4" w:space="0" w:color="000000"/>
              <w:right w:val="single" w:sz="4" w:space="0" w:color="000000"/>
            </w:tcBorders>
          </w:tcPr>
          <w:p w14:paraId="71E0D96A" w14:textId="77777777" w:rsidR="00C72756" w:rsidRDefault="00000000">
            <w:r>
              <w:t xml:space="preserve">17) Letter of Disclosure. </w:t>
            </w:r>
            <w:r>
              <w:rPr>
                <w:b w:val="0"/>
              </w:rPr>
              <w:t xml:space="preserve">When a nonconformance is determined to exist or is suspected to exist on goods and/or services provided to Machine Sciences under this Contract, Supplier shall provide written Post Delivery Notification Letter or Letter of Disclosure </w:t>
            </w:r>
            <w:r>
              <w:rPr>
                <w:b w:val="0"/>
                <w:sz w:val="24"/>
              </w:rPr>
              <w:t xml:space="preserve"> </w:t>
            </w:r>
          </w:p>
        </w:tc>
      </w:tr>
      <w:tr w:rsidR="00C72756" w14:paraId="35DBC147" w14:textId="77777777">
        <w:trPr>
          <w:trHeight w:val="746"/>
        </w:trPr>
        <w:tc>
          <w:tcPr>
            <w:tcW w:w="10281" w:type="dxa"/>
            <w:tcBorders>
              <w:top w:val="single" w:sz="4" w:space="0" w:color="000000"/>
              <w:left w:val="single" w:sz="4" w:space="0" w:color="000000"/>
              <w:bottom w:val="single" w:sz="4" w:space="0" w:color="000000"/>
              <w:right w:val="single" w:sz="4" w:space="0" w:color="000000"/>
            </w:tcBorders>
          </w:tcPr>
          <w:p w14:paraId="0BCF96E0" w14:textId="77777777" w:rsidR="00C72756" w:rsidRDefault="00000000">
            <w:r>
              <w:t xml:space="preserve">18) Nonconforming Products and Materials. </w:t>
            </w:r>
            <w:r>
              <w:rPr>
                <w:b w:val="0"/>
              </w:rPr>
              <w:t xml:space="preserve">Supplier shall obtain Machine Sciences’ prior written approval with respect to the disposition of any nonconforming products or materials supplied, that does not meet engineering drawing or documents under contract or Purchase Order. </w:t>
            </w:r>
            <w:proofErr w:type="gramStart"/>
            <w:r>
              <w:rPr>
                <w:b w:val="0"/>
              </w:rPr>
              <w:t>In the event that</w:t>
            </w:r>
            <w:proofErr w:type="gramEnd"/>
            <w:r>
              <w:rPr>
                <w:b w:val="0"/>
              </w:rPr>
              <w:t xml:space="preserve"> nonconforming materials are present, and the materials are deemed acceptable or useable by the Supplier, it is still the responsibility of the Supplier to inform Machine Sciences so that a determination can be made for the use of said materials.</w:t>
            </w:r>
            <w:r>
              <w:rPr>
                <w:b w:val="0"/>
                <w:sz w:val="24"/>
              </w:rPr>
              <w:t xml:space="preserve"> </w:t>
            </w:r>
          </w:p>
        </w:tc>
      </w:tr>
      <w:tr w:rsidR="00C72756" w14:paraId="751ACC55" w14:textId="77777777">
        <w:trPr>
          <w:trHeight w:val="562"/>
        </w:trPr>
        <w:tc>
          <w:tcPr>
            <w:tcW w:w="10281" w:type="dxa"/>
            <w:tcBorders>
              <w:top w:val="single" w:sz="4" w:space="0" w:color="000000"/>
              <w:left w:val="single" w:sz="4" w:space="0" w:color="000000"/>
              <w:bottom w:val="single" w:sz="4" w:space="0" w:color="000000"/>
              <w:right w:val="single" w:sz="4" w:space="0" w:color="000000"/>
            </w:tcBorders>
          </w:tcPr>
          <w:p w14:paraId="4A929995" w14:textId="77777777" w:rsidR="00C72756" w:rsidRDefault="00000000">
            <w:r>
              <w:t xml:space="preserve">19) Packaging and Handling. </w:t>
            </w:r>
            <w:r>
              <w:rPr>
                <w:b w:val="0"/>
              </w:rPr>
              <w:t xml:space="preserve">As a minimum, the Supplier shall package all material in a manner that will ensure protection against corrosion, oxidation, </w:t>
            </w:r>
            <w:proofErr w:type="gramStart"/>
            <w:r>
              <w:rPr>
                <w:b w:val="0"/>
              </w:rPr>
              <w:t>deterioration</w:t>
            </w:r>
            <w:proofErr w:type="gramEnd"/>
            <w:r>
              <w:rPr>
                <w:b w:val="0"/>
              </w:rPr>
              <w:t xml:space="preserve"> and physical damage during shipment. In addition, when materials delivered are lot-controlled and multiple material lots are shipped, each lot shall be separately packaged and identified.</w:t>
            </w:r>
            <w:r>
              <w:rPr>
                <w:b w:val="0"/>
                <w:sz w:val="24"/>
              </w:rPr>
              <w:t xml:space="preserve"> </w:t>
            </w:r>
          </w:p>
        </w:tc>
      </w:tr>
      <w:tr w:rsidR="00C72756" w14:paraId="31326E00" w14:textId="77777777">
        <w:trPr>
          <w:trHeight w:val="377"/>
        </w:trPr>
        <w:tc>
          <w:tcPr>
            <w:tcW w:w="10281" w:type="dxa"/>
            <w:tcBorders>
              <w:top w:val="single" w:sz="4" w:space="0" w:color="000000"/>
              <w:left w:val="single" w:sz="4" w:space="0" w:color="000000"/>
              <w:bottom w:val="single" w:sz="4" w:space="0" w:color="000000"/>
              <w:right w:val="single" w:sz="4" w:space="0" w:color="000000"/>
            </w:tcBorders>
          </w:tcPr>
          <w:p w14:paraId="201DC59A" w14:textId="77777777" w:rsidR="00C72756" w:rsidRDefault="00000000">
            <w:r>
              <w:t xml:space="preserve">20) </w:t>
            </w:r>
            <w:proofErr w:type="spellStart"/>
            <w:r>
              <w:t>Flowdown</w:t>
            </w:r>
            <w:proofErr w:type="spellEnd"/>
            <w:r>
              <w:t xml:space="preserve"> to Sub-tier Suppliers. </w:t>
            </w:r>
            <w:r>
              <w:rPr>
                <w:b w:val="0"/>
              </w:rPr>
              <w:t xml:space="preserve">Suppliers shall </w:t>
            </w:r>
            <w:proofErr w:type="gramStart"/>
            <w:r>
              <w:rPr>
                <w:b w:val="0"/>
              </w:rPr>
              <w:t>flow-down</w:t>
            </w:r>
            <w:proofErr w:type="gramEnd"/>
            <w:r>
              <w:rPr>
                <w:b w:val="0"/>
              </w:rPr>
              <w:t xml:space="preserve"> to Sub-Tier Suppliers the applicable requirements as required by the purchase order either specifically or by reference. </w:t>
            </w:r>
            <w:r>
              <w:rPr>
                <w:b w:val="0"/>
                <w:sz w:val="24"/>
              </w:rPr>
              <w:t xml:space="preserve"> </w:t>
            </w:r>
          </w:p>
        </w:tc>
      </w:tr>
      <w:tr w:rsidR="00C72756" w14:paraId="456ED62F" w14:textId="77777777">
        <w:trPr>
          <w:trHeight w:val="379"/>
        </w:trPr>
        <w:tc>
          <w:tcPr>
            <w:tcW w:w="10281" w:type="dxa"/>
            <w:tcBorders>
              <w:top w:val="single" w:sz="4" w:space="0" w:color="000000"/>
              <w:left w:val="single" w:sz="4" w:space="0" w:color="000000"/>
              <w:bottom w:val="single" w:sz="4" w:space="0" w:color="000000"/>
              <w:right w:val="single" w:sz="4" w:space="0" w:color="000000"/>
            </w:tcBorders>
          </w:tcPr>
          <w:p w14:paraId="76B2D3A8" w14:textId="77777777" w:rsidR="00C72756" w:rsidRDefault="00000000">
            <w:r>
              <w:lastRenderedPageBreak/>
              <w:t xml:space="preserve">21) Confidentiality. </w:t>
            </w:r>
            <w:r>
              <w:rPr>
                <w:b w:val="0"/>
              </w:rPr>
              <w:t xml:space="preserve">Suppliers shall hold all information received from Machine Sciences in confidence and no </w:t>
            </w:r>
            <w:proofErr w:type="gramStart"/>
            <w:r>
              <w:rPr>
                <w:b w:val="0"/>
              </w:rPr>
              <w:t>third party</w:t>
            </w:r>
            <w:proofErr w:type="gramEnd"/>
            <w:r>
              <w:rPr>
                <w:b w:val="0"/>
              </w:rPr>
              <w:t xml:space="preserve"> request for information will be authorized unless approved, in writing, by Machine Sciences. </w:t>
            </w:r>
            <w:r>
              <w:rPr>
                <w:b w:val="0"/>
                <w:sz w:val="24"/>
              </w:rPr>
              <w:t xml:space="preserve"> </w:t>
            </w:r>
          </w:p>
        </w:tc>
      </w:tr>
      <w:tr w:rsidR="00C72756" w14:paraId="64771D02" w14:textId="77777777">
        <w:trPr>
          <w:trHeight w:val="377"/>
        </w:trPr>
        <w:tc>
          <w:tcPr>
            <w:tcW w:w="10281" w:type="dxa"/>
            <w:tcBorders>
              <w:top w:val="single" w:sz="4" w:space="0" w:color="000000"/>
              <w:left w:val="single" w:sz="4" w:space="0" w:color="000000"/>
              <w:bottom w:val="single" w:sz="4" w:space="0" w:color="000000"/>
              <w:right w:val="single" w:sz="4" w:space="0" w:color="000000"/>
            </w:tcBorders>
          </w:tcPr>
          <w:p w14:paraId="481B902E" w14:textId="77777777" w:rsidR="00C72756" w:rsidRDefault="00000000">
            <w:pPr>
              <w:jc w:val="both"/>
            </w:pPr>
            <w:r>
              <w:t xml:space="preserve">22) ITAR Compliance. </w:t>
            </w:r>
            <w:r>
              <w:rPr>
                <w:b w:val="0"/>
              </w:rPr>
              <w:t xml:space="preserve">Suppliers shall comply with ITAR (International Traffic Arms Regulations) requirements unless specifically waived by Machine Sciences. </w:t>
            </w:r>
            <w:r>
              <w:rPr>
                <w:b w:val="0"/>
                <w:sz w:val="24"/>
              </w:rPr>
              <w:t xml:space="preserve"> </w:t>
            </w:r>
          </w:p>
        </w:tc>
      </w:tr>
      <w:tr w:rsidR="00C72756" w14:paraId="5C55E77A" w14:textId="77777777">
        <w:trPr>
          <w:trHeight w:val="379"/>
        </w:trPr>
        <w:tc>
          <w:tcPr>
            <w:tcW w:w="10281" w:type="dxa"/>
            <w:tcBorders>
              <w:top w:val="single" w:sz="4" w:space="0" w:color="000000"/>
              <w:left w:val="single" w:sz="4" w:space="0" w:color="000000"/>
              <w:bottom w:val="single" w:sz="4" w:space="0" w:color="000000"/>
              <w:right w:val="single" w:sz="4" w:space="0" w:color="000000"/>
            </w:tcBorders>
          </w:tcPr>
          <w:p w14:paraId="48A0CFEF" w14:textId="77777777" w:rsidR="00C72756" w:rsidRDefault="00000000">
            <w:r>
              <w:t xml:space="preserve">23) Ethical Behavior. </w:t>
            </w:r>
            <w:r>
              <w:rPr>
                <w:b w:val="0"/>
              </w:rPr>
              <w:t xml:space="preserve">Suppliers shall ensure employees understand their contribution to product and services conformity, product safety, as well as importance of ethical behavior.  </w:t>
            </w:r>
            <w:r>
              <w:rPr>
                <w:b w:val="0"/>
                <w:sz w:val="24"/>
              </w:rPr>
              <w:t xml:space="preserve"> </w:t>
            </w:r>
          </w:p>
        </w:tc>
      </w:tr>
    </w:tbl>
    <w:p w14:paraId="669E237C" w14:textId="77777777" w:rsidR="00C72756" w:rsidRDefault="00000000">
      <w:pPr>
        <w:spacing w:after="218"/>
      </w:pPr>
      <w:r>
        <w:rPr>
          <w:rFonts w:ascii="Calibri" w:eastAsia="Calibri" w:hAnsi="Calibri" w:cs="Calibri"/>
          <w:b w:val="0"/>
          <w:sz w:val="22"/>
        </w:rPr>
        <w:t xml:space="preserve"> </w:t>
      </w:r>
    </w:p>
    <w:p w14:paraId="5BC44907" w14:textId="77777777" w:rsidR="00C72756" w:rsidRDefault="00000000">
      <w:r>
        <w:rPr>
          <w:rFonts w:ascii="Calibri" w:eastAsia="Calibri" w:hAnsi="Calibri" w:cs="Calibri"/>
          <w:b w:val="0"/>
          <w:sz w:val="22"/>
        </w:rPr>
        <w:t xml:space="preserve"> </w:t>
      </w:r>
    </w:p>
    <w:p w14:paraId="14326A7C" w14:textId="77777777" w:rsidR="00C72756" w:rsidRDefault="00000000">
      <w:pPr>
        <w:spacing w:after="56"/>
        <w:ind w:left="-29" w:right="-29"/>
      </w:pPr>
      <w:r>
        <w:rPr>
          <w:rFonts w:ascii="Calibri" w:eastAsia="Calibri" w:hAnsi="Calibri" w:cs="Calibri"/>
          <w:b w:val="0"/>
          <w:noProof/>
          <w:sz w:val="22"/>
        </w:rPr>
        <mc:AlternateContent>
          <mc:Choice Requires="wpg">
            <w:drawing>
              <wp:inline distT="0" distB="0" distL="0" distR="0" wp14:anchorId="3C3C732A" wp14:editId="761AF6E2">
                <wp:extent cx="6895846" cy="56388"/>
                <wp:effectExtent l="0" t="0" r="0" b="0"/>
                <wp:docPr id="3133" name="Group 3133"/>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3287" name="Shape 3287"/>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288" name="Shape 3288"/>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xmlns:a="http://schemas.openxmlformats.org/drawingml/2006/main">
            <w:pict>
              <v:group id="Group 3133" style="width:542.98pt;height:4.44pt;mso-position-horizontal-relative:char;mso-position-vertical-relative:line" coordsize="68958,563">
                <v:shape id="Shape 3289" style="position:absolute;width:68958;height:381;left:0;top:0;" coordsize="6895846,38100" path="m0,0l6895846,0l6895846,38100l0,38100l0,0">
                  <v:stroke weight="0pt" endcap="flat" joinstyle="miter" miterlimit="10" on="false" color="#000000" opacity="0"/>
                  <v:fill on="true" color="#622423"/>
                </v:shape>
                <v:shape id="Shape 3290" style="position:absolute;width:68958;height:91;left:0;top:472;" coordsize="6895846,9144" path="m0,0l6895846,0l6895846,9144l0,9144l0,0">
                  <v:stroke weight="0pt" endcap="flat" joinstyle="miter" miterlimit="10" on="false" color="#000000" opacity="0"/>
                  <v:fill on="true" color="#622423"/>
                </v:shape>
              </v:group>
            </w:pict>
          </mc:Fallback>
        </mc:AlternateContent>
      </w:r>
    </w:p>
    <w:p w14:paraId="6D2BE1D3" w14:textId="0AD4E41C" w:rsidR="00C72756" w:rsidRDefault="00000000">
      <w:pPr>
        <w:ind w:left="-5" w:hanging="10"/>
      </w:pPr>
      <w:r>
        <w:rPr>
          <w:rFonts w:ascii="Cambria" w:eastAsia="Cambria" w:hAnsi="Cambria" w:cs="Cambria"/>
          <w:b w:val="0"/>
          <w:sz w:val="22"/>
        </w:rPr>
        <w:t xml:space="preserve">AS9100 Supplier Flow Down Requirements </w:t>
      </w:r>
    </w:p>
    <w:p w14:paraId="47834022" w14:textId="0742C592" w:rsidR="00C72756" w:rsidRDefault="00000000">
      <w:pPr>
        <w:tabs>
          <w:tab w:val="right" w:pos="10802"/>
        </w:tabs>
        <w:ind w:left="-15"/>
      </w:pPr>
      <w:r>
        <w:rPr>
          <w:rFonts w:ascii="Cambria" w:eastAsia="Cambria" w:hAnsi="Cambria" w:cs="Cambria"/>
          <w:b w:val="0"/>
          <w:sz w:val="22"/>
        </w:rPr>
        <w:t xml:space="preserve">Released </w:t>
      </w:r>
      <w:r w:rsidR="00764F7C">
        <w:rPr>
          <w:rFonts w:ascii="Cambria" w:eastAsia="Cambria" w:hAnsi="Cambria" w:cs="Cambria"/>
          <w:b w:val="0"/>
          <w:sz w:val="22"/>
        </w:rPr>
        <w:t>8</w:t>
      </w:r>
      <w:r>
        <w:rPr>
          <w:rFonts w:ascii="Cambria" w:eastAsia="Cambria" w:hAnsi="Cambria" w:cs="Cambria"/>
          <w:b w:val="0"/>
          <w:sz w:val="22"/>
        </w:rPr>
        <w:t>/</w:t>
      </w:r>
      <w:r w:rsidR="00764F7C">
        <w:rPr>
          <w:rFonts w:ascii="Cambria" w:eastAsia="Cambria" w:hAnsi="Cambria" w:cs="Cambria"/>
          <w:b w:val="0"/>
          <w:sz w:val="22"/>
        </w:rPr>
        <w:t>24</w:t>
      </w:r>
      <w:r>
        <w:rPr>
          <w:rFonts w:ascii="Cambria" w:eastAsia="Cambria" w:hAnsi="Cambria" w:cs="Cambria"/>
          <w:b w:val="0"/>
          <w:sz w:val="22"/>
        </w:rPr>
        <w:t>/</w:t>
      </w:r>
      <w:r w:rsidR="00764F7C">
        <w:rPr>
          <w:rFonts w:ascii="Cambria" w:eastAsia="Cambria" w:hAnsi="Cambria" w:cs="Cambria"/>
          <w:b w:val="0"/>
          <w:sz w:val="22"/>
        </w:rPr>
        <w:t>2023</w:t>
      </w:r>
      <w:r>
        <w:rPr>
          <w:rFonts w:ascii="Cambria" w:eastAsia="Cambria" w:hAnsi="Cambria" w:cs="Cambria"/>
          <w:b w:val="0"/>
          <w:sz w:val="22"/>
        </w:rPr>
        <w:t xml:space="preserve"> </w:t>
      </w:r>
      <w:r>
        <w:rPr>
          <w:rFonts w:ascii="Cambria" w:eastAsia="Cambria" w:hAnsi="Cambria" w:cs="Cambria"/>
          <w:b w:val="0"/>
          <w:sz w:val="22"/>
        </w:rPr>
        <w:tab/>
        <w:t xml:space="preserve">Page 1 </w:t>
      </w:r>
    </w:p>
    <w:p w14:paraId="11402229" w14:textId="77777777" w:rsidR="00C72756" w:rsidRDefault="00000000">
      <w:r>
        <w:rPr>
          <w:rFonts w:ascii="Calibri" w:eastAsia="Calibri" w:hAnsi="Calibri" w:cs="Calibri"/>
          <w:b w:val="0"/>
          <w:sz w:val="22"/>
        </w:rPr>
        <w:t xml:space="preserve"> </w:t>
      </w:r>
    </w:p>
    <w:sectPr w:rsidR="00C72756">
      <w:pgSz w:w="12240" w:h="15840"/>
      <w:pgMar w:top="1440" w:right="71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56"/>
    <w:rsid w:val="00764F7C"/>
    <w:rsid w:val="00C72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F1E9"/>
  <w15:docId w15:val="{8A9A0F3B-C435-4EDD-A901-AE3DDE93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cs="Times New Roman"/>
      <w:b/>
      <w:color w:val="000000"/>
      <w:sz w:val="16"/>
    </w:rPr>
  </w:style>
  <w:style w:type="paragraph" w:styleId="Heading1">
    <w:name w:val="heading 1"/>
    <w:next w:val="Normal"/>
    <w:link w:val="Heading1Char"/>
    <w:uiPriority w:val="9"/>
    <w:qFormat/>
    <w:pPr>
      <w:keepNext/>
      <w:keepLines/>
      <w:spacing w:after="0"/>
      <w:ind w:left="10" w:right="3" w:hanging="10"/>
      <w:jc w:val="center"/>
      <w:outlineLvl w:val="0"/>
    </w:pPr>
    <w:rPr>
      <w:rFonts w:ascii="Cambria" w:eastAsia="Cambria" w:hAnsi="Cambria" w:cs="Cambria"/>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cp:lastModifiedBy>RAINBOW CYPHERS</cp:lastModifiedBy>
  <cp:revision>2</cp:revision>
  <dcterms:created xsi:type="dcterms:W3CDTF">2023-08-24T18:56:00Z</dcterms:created>
  <dcterms:modified xsi:type="dcterms:W3CDTF">2023-08-24T18:56:00Z</dcterms:modified>
</cp:coreProperties>
</file>